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87FA9" w14:textId="49876887" w:rsidR="00E10BDC" w:rsidRPr="00C524D5" w:rsidRDefault="008511BA" w:rsidP="00C524D5">
      <w:pPr>
        <w:rPr>
          <w:b/>
          <w:color w:val="1F497D" w:themeColor="text2"/>
          <w:sz w:val="32"/>
          <w:szCs w:val="32"/>
        </w:rPr>
      </w:pPr>
      <w:r>
        <w:rPr>
          <w:b/>
          <w:color w:val="1F497D" w:themeColor="text2"/>
          <w:sz w:val="32"/>
          <w:szCs w:val="32"/>
        </w:rPr>
        <w:t>Werkproces A</w:t>
      </w:r>
      <w:r w:rsidR="00E10BDC" w:rsidRPr="00C524D5">
        <w:rPr>
          <w:b/>
          <w:color w:val="1F497D" w:themeColor="text2"/>
          <w:sz w:val="32"/>
          <w:szCs w:val="32"/>
        </w:rPr>
        <w:t>anvraag vergoede diagnostiek Ernstige Dyslexie</w:t>
      </w:r>
    </w:p>
    <w:p w14:paraId="57742918" w14:textId="3FB0A35A" w:rsidR="00E10BDC" w:rsidRPr="007C5583" w:rsidRDefault="00E10BDC" w:rsidP="00C524D5">
      <w:pPr>
        <w:jc w:val="both"/>
        <w:rPr>
          <w:sz w:val="20"/>
          <w:szCs w:val="20"/>
        </w:rPr>
      </w:pPr>
      <w:r w:rsidRPr="007C5583">
        <w:rPr>
          <w:sz w:val="20"/>
          <w:szCs w:val="20"/>
        </w:rPr>
        <w:t>Bij een vermoeden van ernstig</w:t>
      </w:r>
      <w:r w:rsidR="007C5583" w:rsidRPr="007C5583">
        <w:rPr>
          <w:sz w:val="20"/>
          <w:szCs w:val="20"/>
        </w:rPr>
        <w:t>e</w:t>
      </w:r>
      <w:r w:rsidRPr="007C5583">
        <w:rPr>
          <w:sz w:val="20"/>
          <w:szCs w:val="20"/>
        </w:rPr>
        <w:t xml:space="preserve"> dyslexie (ED) wordt het </w:t>
      </w:r>
      <w:r w:rsidRPr="007C5583">
        <w:rPr>
          <w:b/>
          <w:bCs/>
          <w:sz w:val="20"/>
          <w:szCs w:val="20"/>
        </w:rPr>
        <w:t xml:space="preserve">Leerlingdossier Dyslexie </w:t>
      </w:r>
      <w:r w:rsidRPr="007C5583">
        <w:rPr>
          <w:sz w:val="20"/>
          <w:szCs w:val="20"/>
        </w:rPr>
        <w:t xml:space="preserve">door scholen gebruikt om alle informatie te bundelen ten behoeve van de diagnostiek. De </w:t>
      </w:r>
      <w:r w:rsidRPr="007C5583">
        <w:rPr>
          <w:b/>
          <w:bCs/>
          <w:sz w:val="20"/>
          <w:szCs w:val="20"/>
        </w:rPr>
        <w:t xml:space="preserve">Leidraad vergoedingsregeling dyslexie van onderwijs naar praktijk </w:t>
      </w:r>
      <w:r w:rsidRPr="007C5583">
        <w:rPr>
          <w:sz w:val="20"/>
          <w:szCs w:val="20"/>
        </w:rPr>
        <w:t>beschrijft het proces dat doorlopen wordt bij een vermoeden van ernstige</w:t>
      </w:r>
      <w:r w:rsidR="007C5583" w:rsidRPr="007C5583">
        <w:rPr>
          <w:sz w:val="20"/>
          <w:szCs w:val="20"/>
        </w:rPr>
        <w:t xml:space="preserve"> </w:t>
      </w:r>
      <w:r w:rsidRPr="007C5583">
        <w:rPr>
          <w:sz w:val="20"/>
          <w:szCs w:val="20"/>
        </w:rPr>
        <w:t xml:space="preserve">dyslexie (ED) tot diagnostiek en behandeling. Voor de inhoudelijke concretisering wordt verwezen naar de </w:t>
      </w:r>
      <w:r w:rsidRPr="007C5583">
        <w:rPr>
          <w:b/>
          <w:bCs/>
          <w:sz w:val="20"/>
          <w:szCs w:val="20"/>
        </w:rPr>
        <w:t>Handreiking voor de invulling van ondersteuningsniveau 2 en 3 bij een vermoeden van Ernstige Dyslexie</w:t>
      </w:r>
      <w:r w:rsidRPr="007C5583">
        <w:rPr>
          <w:sz w:val="20"/>
          <w:szCs w:val="20"/>
        </w:rPr>
        <w:t xml:space="preserve">. Deze drie documenten vormen samen één geheel en stellen de betrokkenen in staat het proces van signalering naar diagnostiek inhoudelijk, organisatorisch en praktisch vorm te geven en te verantwoorden. Deze drie en andere relevante documenten zijn te vinden op </w:t>
      </w:r>
      <w:hyperlink r:id="rId8" w:history="1">
        <w:r w:rsidRPr="007C5583">
          <w:rPr>
            <w:rStyle w:val="Hyperlink"/>
            <w:sz w:val="20"/>
            <w:szCs w:val="20"/>
          </w:rPr>
          <w:t>https://www.nkd.nl/professionals/richtlijnen-en-handreikingen/</w:t>
        </w:r>
      </w:hyperlink>
      <w:r w:rsidR="00C524D5">
        <w:rPr>
          <w:sz w:val="20"/>
          <w:szCs w:val="20"/>
        </w:rPr>
        <w:t>.</w:t>
      </w:r>
      <w:r w:rsidR="007C5583" w:rsidRPr="007C5583">
        <w:rPr>
          <w:sz w:val="20"/>
          <w:szCs w:val="20"/>
        </w:rPr>
        <w:t xml:space="preserve"> </w:t>
      </w:r>
      <w:r w:rsidRPr="007C5583">
        <w:rPr>
          <w:sz w:val="20"/>
          <w:szCs w:val="20"/>
          <w:lang w:bidi="nl-NL"/>
        </w:rPr>
        <w:t>Als op basis van het leerlingdossier het vermoeden tot Ernstige Dyslexie bestaat, kan dit</w:t>
      </w:r>
      <w:r w:rsidR="008511BA">
        <w:rPr>
          <w:sz w:val="20"/>
          <w:szCs w:val="20"/>
          <w:lang w:bidi="nl-NL"/>
        </w:rPr>
        <w:t xml:space="preserve"> middels een aanvraag</w:t>
      </w:r>
      <w:r w:rsidRPr="007C5583">
        <w:rPr>
          <w:sz w:val="20"/>
          <w:szCs w:val="20"/>
          <w:lang w:bidi="nl-NL"/>
        </w:rPr>
        <w:t xml:space="preserve"> worden voorgelegd aan de Toegang Dyslexie via </w:t>
      </w:r>
      <w:hyperlink r:id="rId9" w:history="1">
        <w:r w:rsidRPr="007C5583">
          <w:rPr>
            <w:rStyle w:val="Hyperlink"/>
            <w:sz w:val="20"/>
            <w:szCs w:val="20"/>
          </w:rPr>
          <w:t>toegangdyslexie@tilburg.nl</w:t>
        </w:r>
      </w:hyperlink>
      <w:r w:rsidR="00191889">
        <w:rPr>
          <w:sz w:val="20"/>
          <w:szCs w:val="20"/>
          <w:lang w:bidi="nl-NL"/>
        </w:rPr>
        <w:t xml:space="preserve">. Voor meer inhoudelijke informatie omtrent de aanvraag zie checklist aanvraag. </w:t>
      </w:r>
    </w:p>
    <w:p w14:paraId="1E59747C" w14:textId="77777777" w:rsidR="00E10BDC" w:rsidRPr="001B2E5B" w:rsidRDefault="00E10BDC" w:rsidP="00E10BDC">
      <w:pPr>
        <w:rPr>
          <w:u w:val="single"/>
          <w:lang w:bidi="nl-NL"/>
        </w:rPr>
      </w:pPr>
      <w:r>
        <w:rPr>
          <w:u w:val="single"/>
          <w:lang w:bidi="nl-NL"/>
        </w:rPr>
        <w:t>Werkp</w:t>
      </w:r>
      <w:r w:rsidRPr="001B2E5B">
        <w:rPr>
          <w:u w:val="single"/>
          <w:lang w:bidi="nl-NL"/>
        </w:rPr>
        <w:t>roces:</w:t>
      </w:r>
    </w:p>
    <w:p w14:paraId="047B88F3" w14:textId="03784669" w:rsidR="00E10BDC" w:rsidRPr="00C524D5" w:rsidRDefault="00E10BDC" w:rsidP="00FD6E38">
      <w:pPr>
        <w:pStyle w:val="Lijstalinea"/>
        <w:numPr>
          <w:ilvl w:val="0"/>
          <w:numId w:val="4"/>
        </w:numPr>
        <w:rPr>
          <w:i/>
          <w:lang w:bidi="nl-NL"/>
        </w:rPr>
      </w:pPr>
      <w:r w:rsidRPr="004F7572">
        <w:rPr>
          <w:lang w:bidi="nl-NL"/>
        </w:rPr>
        <w:t>School</w:t>
      </w:r>
      <w:r>
        <w:rPr>
          <w:lang w:bidi="nl-NL"/>
        </w:rPr>
        <w:t xml:space="preserve"> stuurt het ingevuld</w:t>
      </w:r>
      <w:r w:rsidR="00C524D5">
        <w:rPr>
          <w:lang w:bidi="nl-NL"/>
        </w:rPr>
        <w:t>e lees</w:t>
      </w:r>
      <w:r>
        <w:rPr>
          <w:lang w:bidi="nl-NL"/>
        </w:rPr>
        <w:t>dossier</w:t>
      </w:r>
      <w:r w:rsidR="00C524D5">
        <w:rPr>
          <w:lang w:bidi="nl-NL"/>
        </w:rPr>
        <w:t xml:space="preserve"> dyslexie </w:t>
      </w:r>
      <w:r>
        <w:rPr>
          <w:lang w:bidi="nl-NL"/>
        </w:rPr>
        <w:t xml:space="preserve"> digitaal (in PDF) ondertekend door verwijzer en directie, inclusief alle benodigde bijlagen (zie checklist) met toestemmingsverklaring naar Toegang Dyslexie. </w:t>
      </w:r>
      <w:r w:rsidR="00C524D5" w:rsidRPr="00FF381C">
        <w:rPr>
          <w:lang w:bidi="nl-NL"/>
        </w:rPr>
        <w:t>De toestemmingsverklaring</w:t>
      </w:r>
      <w:r w:rsidR="00C524D5">
        <w:rPr>
          <w:lang w:bidi="nl-NL"/>
        </w:rPr>
        <w:t xml:space="preserve"> dient door </w:t>
      </w:r>
      <w:r w:rsidR="00C524D5" w:rsidRPr="00FF381C">
        <w:rPr>
          <w:lang w:bidi="nl-NL"/>
        </w:rPr>
        <w:t>beide</w:t>
      </w:r>
      <w:r w:rsidR="00C524D5">
        <w:rPr>
          <w:lang w:bidi="nl-NL"/>
        </w:rPr>
        <w:t xml:space="preserve"> gezaghebbende ouders te zijn ondertekend. </w:t>
      </w:r>
      <w:r w:rsidRPr="00C524D5">
        <w:rPr>
          <w:i/>
          <w:lang w:bidi="nl-NL"/>
        </w:rPr>
        <w:t>Onvolledige dossiers worden niet in behandeling genomen</w:t>
      </w:r>
      <w:r w:rsidR="007C5583" w:rsidRPr="00C524D5">
        <w:rPr>
          <w:i/>
          <w:lang w:bidi="nl-NL"/>
        </w:rPr>
        <w:t>.</w:t>
      </w:r>
      <w:bookmarkStart w:id="0" w:name="_GoBack"/>
      <w:bookmarkEnd w:id="0"/>
    </w:p>
    <w:p w14:paraId="79640FE0" w14:textId="77777777" w:rsidR="00E10BDC" w:rsidRDefault="00E10BDC" w:rsidP="00E10BDC">
      <w:pPr>
        <w:pStyle w:val="Lijstalinea"/>
        <w:numPr>
          <w:ilvl w:val="0"/>
          <w:numId w:val="4"/>
        </w:numPr>
        <w:rPr>
          <w:lang w:bidi="nl-NL"/>
        </w:rPr>
      </w:pPr>
      <w:r>
        <w:rPr>
          <w:lang w:bidi="nl-NL"/>
        </w:rPr>
        <w:t xml:space="preserve">School neemt </w:t>
      </w:r>
      <w:r w:rsidRPr="00667A33">
        <w:rPr>
          <w:lang w:bidi="nl-NL"/>
        </w:rPr>
        <w:t xml:space="preserve">bij inzending van </w:t>
      </w:r>
      <w:r>
        <w:rPr>
          <w:lang w:bidi="nl-NL"/>
        </w:rPr>
        <w:t>het leerling</w:t>
      </w:r>
      <w:r w:rsidRPr="00667A33">
        <w:rPr>
          <w:lang w:bidi="nl-NL"/>
        </w:rPr>
        <w:t>dossier</w:t>
      </w:r>
      <w:r>
        <w:rPr>
          <w:lang w:bidi="nl-NL"/>
        </w:rPr>
        <w:t xml:space="preserve"> dyslexie de ouders in cc mee.</w:t>
      </w:r>
    </w:p>
    <w:p w14:paraId="0EC1EA48" w14:textId="25D3C971" w:rsidR="00E10BDC" w:rsidRDefault="00E10BDC" w:rsidP="00E10BDC">
      <w:pPr>
        <w:pStyle w:val="Lijstalinea"/>
        <w:numPr>
          <w:ilvl w:val="0"/>
          <w:numId w:val="4"/>
        </w:numPr>
        <w:rPr>
          <w:lang w:bidi="nl-NL"/>
        </w:rPr>
      </w:pPr>
      <w:r>
        <w:rPr>
          <w:lang w:bidi="nl-NL"/>
        </w:rPr>
        <w:t xml:space="preserve">School en ouders ontvangen binnen 2 werkdagen een </w:t>
      </w:r>
      <w:r w:rsidRPr="00667A33">
        <w:rPr>
          <w:lang w:bidi="nl-NL"/>
        </w:rPr>
        <w:t>bevestigingsmail</w:t>
      </w:r>
      <w:r w:rsidR="00C524D5">
        <w:rPr>
          <w:lang w:bidi="nl-NL"/>
        </w:rPr>
        <w:t xml:space="preserve">. </w:t>
      </w:r>
    </w:p>
    <w:p w14:paraId="404580D5" w14:textId="52B6650D" w:rsidR="00E10BDC" w:rsidRDefault="00E10BDC" w:rsidP="00E10BDC">
      <w:pPr>
        <w:pStyle w:val="Lijstalinea"/>
        <w:numPr>
          <w:ilvl w:val="0"/>
          <w:numId w:val="4"/>
        </w:numPr>
        <w:rPr>
          <w:lang w:bidi="nl-NL"/>
        </w:rPr>
      </w:pPr>
      <w:r>
        <w:rPr>
          <w:lang w:bidi="nl-NL"/>
        </w:rPr>
        <w:t xml:space="preserve">Binnen </w:t>
      </w:r>
      <w:r w:rsidRPr="00667A33">
        <w:rPr>
          <w:lang w:bidi="nl-NL"/>
        </w:rPr>
        <w:t>2 weken</w:t>
      </w:r>
      <w:r>
        <w:rPr>
          <w:lang w:bidi="nl-NL"/>
        </w:rPr>
        <w:t xml:space="preserve"> </w:t>
      </w:r>
      <w:r w:rsidRPr="00667A33">
        <w:rPr>
          <w:lang w:bidi="nl-NL"/>
        </w:rPr>
        <w:t>(</w:t>
      </w:r>
      <w:r>
        <w:rPr>
          <w:lang w:bidi="nl-NL"/>
        </w:rPr>
        <w:t>=</w:t>
      </w:r>
      <w:r w:rsidRPr="00667A33">
        <w:rPr>
          <w:lang w:bidi="nl-NL"/>
        </w:rPr>
        <w:t>10 werkdagen)</w:t>
      </w:r>
      <w:r>
        <w:rPr>
          <w:lang w:bidi="nl-NL"/>
        </w:rPr>
        <w:t xml:space="preserve"> en na dagtekening van de bevestigingsmail </w:t>
      </w:r>
      <w:r w:rsidR="00C524D5">
        <w:rPr>
          <w:lang w:bidi="nl-NL"/>
        </w:rPr>
        <w:t>o</w:t>
      </w:r>
      <w:r>
        <w:rPr>
          <w:lang w:bidi="nl-NL"/>
        </w:rPr>
        <w:t>ntvangen school én ouders</w:t>
      </w:r>
      <w:r w:rsidRPr="00962FFE">
        <w:rPr>
          <w:lang w:bidi="nl-NL"/>
        </w:rPr>
        <w:t xml:space="preserve"> een advies van Toegang</w:t>
      </w:r>
      <w:r>
        <w:rPr>
          <w:lang w:bidi="nl-NL"/>
        </w:rPr>
        <w:t xml:space="preserve"> Dyslexie. </w:t>
      </w:r>
    </w:p>
    <w:p w14:paraId="456C3974" w14:textId="19BE4A63" w:rsidR="00E10BDC" w:rsidRDefault="00E10BDC" w:rsidP="00E10BDC">
      <w:pPr>
        <w:pStyle w:val="Lijstalinea"/>
        <w:numPr>
          <w:ilvl w:val="0"/>
          <w:numId w:val="4"/>
        </w:numPr>
        <w:rPr>
          <w:lang w:bidi="nl-NL"/>
        </w:rPr>
      </w:pPr>
      <w:r>
        <w:rPr>
          <w:lang w:bidi="nl-NL"/>
        </w:rPr>
        <w:t xml:space="preserve">Er kunnen </w:t>
      </w:r>
      <w:r w:rsidR="00C524D5">
        <w:rPr>
          <w:lang w:bidi="nl-NL"/>
        </w:rPr>
        <w:t>2</w:t>
      </w:r>
      <w:r>
        <w:rPr>
          <w:lang w:bidi="nl-NL"/>
        </w:rPr>
        <w:t xml:space="preserve"> adviezen komen van de Toegang Dyslexie:</w:t>
      </w:r>
    </w:p>
    <w:p w14:paraId="624ECCAB" w14:textId="77777777" w:rsidR="007C5583" w:rsidRDefault="00E10BDC" w:rsidP="007C5583">
      <w:pPr>
        <w:pStyle w:val="Lijstalinea"/>
        <w:numPr>
          <w:ilvl w:val="1"/>
          <w:numId w:val="4"/>
        </w:numPr>
        <w:ind w:left="1154"/>
        <w:rPr>
          <w:lang w:bidi="nl-NL"/>
        </w:rPr>
      </w:pPr>
      <w:r>
        <w:rPr>
          <w:lang w:bidi="nl-NL"/>
        </w:rPr>
        <w:t xml:space="preserve">Positief advies voor vergoede diagnostiek </w:t>
      </w:r>
      <w:r w:rsidRPr="00962FFE">
        <w:rPr>
          <w:lang w:bidi="nl-NL"/>
        </w:rPr>
        <w:t>ED</w:t>
      </w:r>
      <w:r>
        <w:rPr>
          <w:lang w:bidi="nl-NL"/>
        </w:rPr>
        <w:t>.</w:t>
      </w:r>
    </w:p>
    <w:p w14:paraId="5D1DE9DB" w14:textId="1E66A182" w:rsidR="00E10BDC" w:rsidRDefault="00E10BDC" w:rsidP="007C5583">
      <w:pPr>
        <w:pStyle w:val="Lijstalinea"/>
        <w:numPr>
          <w:ilvl w:val="1"/>
          <w:numId w:val="4"/>
        </w:numPr>
        <w:ind w:left="1154"/>
        <w:rPr>
          <w:lang w:bidi="nl-NL"/>
        </w:rPr>
      </w:pPr>
      <w:r>
        <w:t xml:space="preserve">Negatief advies, waarbij wordt aangegeven op welke gronden dit negatieve advies wordt afgegeven. Redenen voor een negatief advies kunnen zijn: </w:t>
      </w:r>
    </w:p>
    <w:p w14:paraId="5FA155C8" w14:textId="77777777" w:rsidR="00E10BDC" w:rsidRPr="0077311F" w:rsidRDefault="00E10BDC" w:rsidP="00E10BDC">
      <w:pPr>
        <w:pStyle w:val="Lijstalinea"/>
        <w:numPr>
          <w:ilvl w:val="1"/>
          <w:numId w:val="6"/>
        </w:numPr>
        <w:rPr>
          <w:lang w:bidi="nl-NL"/>
        </w:rPr>
      </w:pPr>
      <w:r>
        <w:rPr>
          <w:i/>
        </w:rPr>
        <w:t>Onvolledig dossier.</w:t>
      </w:r>
    </w:p>
    <w:p w14:paraId="4B64C567" w14:textId="77777777" w:rsidR="00E10BDC" w:rsidRPr="0077311F" w:rsidRDefault="00E10BDC" w:rsidP="00E10BDC">
      <w:pPr>
        <w:pStyle w:val="Lijstalinea"/>
        <w:numPr>
          <w:ilvl w:val="1"/>
          <w:numId w:val="6"/>
        </w:numPr>
        <w:rPr>
          <w:lang w:bidi="nl-NL"/>
        </w:rPr>
      </w:pPr>
      <w:r>
        <w:rPr>
          <w:i/>
        </w:rPr>
        <w:t>Er wordt niet voldaan aan het criterium van achterstand.</w:t>
      </w:r>
    </w:p>
    <w:p w14:paraId="73F5E1E6" w14:textId="77777777" w:rsidR="00E10BDC" w:rsidRPr="00E10BDC" w:rsidRDefault="00E10BDC" w:rsidP="00E10BDC">
      <w:pPr>
        <w:pStyle w:val="Lijstalinea"/>
        <w:numPr>
          <w:ilvl w:val="1"/>
          <w:numId w:val="6"/>
        </w:numPr>
        <w:rPr>
          <w:lang w:bidi="nl-NL"/>
        </w:rPr>
      </w:pPr>
      <w:r>
        <w:rPr>
          <w:i/>
        </w:rPr>
        <w:t xml:space="preserve">Er wordt niet voldaan aan het criterium van didactische resistentie. </w:t>
      </w:r>
    </w:p>
    <w:p w14:paraId="754BD58A" w14:textId="7FA6778A" w:rsidR="00E10BDC" w:rsidRDefault="00E10BDC" w:rsidP="00E10BDC">
      <w:pPr>
        <w:pStyle w:val="Lijstalinea"/>
        <w:numPr>
          <w:ilvl w:val="0"/>
          <w:numId w:val="4"/>
        </w:numPr>
        <w:rPr>
          <w:lang w:bidi="nl-NL"/>
        </w:rPr>
      </w:pPr>
      <w:r>
        <w:t>Bij positief advies voor diagnostiek E</w:t>
      </w:r>
      <w:r w:rsidR="007C5583">
        <w:t>D</w:t>
      </w:r>
      <w:r>
        <w:t xml:space="preserve"> stuurt de s</w:t>
      </w:r>
      <w:r>
        <w:rPr>
          <w:lang w:bidi="nl-NL"/>
        </w:rPr>
        <w:t xml:space="preserve">chool het </w:t>
      </w:r>
      <w:r w:rsidRPr="000C1472">
        <w:rPr>
          <w:lang w:bidi="nl-NL"/>
        </w:rPr>
        <w:t>volledige</w:t>
      </w:r>
      <w:r>
        <w:rPr>
          <w:lang w:bidi="nl-NL"/>
        </w:rPr>
        <w:t xml:space="preserve"> dossier (in PDF) met de toestemmingsverklaring </w:t>
      </w:r>
      <w:r w:rsidRPr="00D82B45">
        <w:rPr>
          <w:lang w:bidi="nl-NL"/>
        </w:rPr>
        <w:t>én</w:t>
      </w:r>
      <w:r>
        <w:rPr>
          <w:lang w:bidi="nl-NL"/>
        </w:rPr>
        <w:t xml:space="preserve"> de brief van de Toegang Dyslexie digitaal naar een gecontracteerde dyslexieaanbieder van de regio Hart van Brabant. Ouders/verzorgers bepalen, in overleg met school, welke gecontracteerde aanbieder het ED-onderzoek uitvoert. </w:t>
      </w:r>
    </w:p>
    <w:p w14:paraId="37DFE461" w14:textId="6022706A" w:rsidR="00E10BDC" w:rsidRDefault="00E10BDC" w:rsidP="00E10BDC">
      <w:pPr>
        <w:pStyle w:val="Lijstalinea"/>
        <w:numPr>
          <w:ilvl w:val="0"/>
          <w:numId w:val="4"/>
        </w:numPr>
        <w:rPr>
          <w:lang w:bidi="nl-NL"/>
        </w:rPr>
      </w:pPr>
      <w:r>
        <w:rPr>
          <w:lang w:bidi="nl-NL"/>
        </w:rPr>
        <w:t xml:space="preserve">De zorgaanbieder zorgt voor de aanvraag van de </w:t>
      </w:r>
      <w:r w:rsidR="007C5583">
        <w:rPr>
          <w:lang w:bidi="nl-NL"/>
        </w:rPr>
        <w:t>toewijzing/</w:t>
      </w:r>
      <w:r>
        <w:rPr>
          <w:lang w:bidi="nl-NL"/>
        </w:rPr>
        <w:t xml:space="preserve">beschikking </w:t>
      </w:r>
      <w:r w:rsidR="007C5583">
        <w:rPr>
          <w:lang w:bidi="nl-NL"/>
        </w:rPr>
        <w:t xml:space="preserve">bij desbetreffende gemeente </w:t>
      </w:r>
      <w:r>
        <w:rPr>
          <w:lang w:bidi="nl-NL"/>
        </w:rPr>
        <w:t xml:space="preserve">en start het onderzoek. Als ED wordt vastgesteld, zorgt de zorgaanbieder </w:t>
      </w:r>
      <w:r w:rsidR="007C5583">
        <w:rPr>
          <w:lang w:bidi="nl-NL"/>
        </w:rPr>
        <w:t>o</w:t>
      </w:r>
      <w:r>
        <w:rPr>
          <w:lang w:bidi="nl-NL"/>
        </w:rPr>
        <w:t>ok voor de beschikking voor de behandeling E</w:t>
      </w:r>
      <w:r w:rsidR="00C524D5">
        <w:rPr>
          <w:lang w:bidi="nl-NL"/>
        </w:rPr>
        <w:t>D</w:t>
      </w:r>
      <w:r>
        <w:rPr>
          <w:lang w:bidi="nl-NL"/>
        </w:rPr>
        <w:t xml:space="preserve">. </w:t>
      </w:r>
    </w:p>
    <w:p w14:paraId="23493C2D" w14:textId="77777777" w:rsidR="008A2939" w:rsidRPr="00E10BDC" w:rsidRDefault="008A2939" w:rsidP="00E10BDC"/>
    <w:sectPr w:rsidR="008A2939" w:rsidRPr="00E10BD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17FF" w14:textId="77777777" w:rsidR="00892B09" w:rsidRDefault="00892B09" w:rsidP="008A2939">
      <w:pPr>
        <w:spacing w:after="0" w:line="240" w:lineRule="auto"/>
      </w:pPr>
      <w:r>
        <w:separator/>
      </w:r>
    </w:p>
  </w:endnote>
  <w:endnote w:type="continuationSeparator" w:id="0">
    <w:p w14:paraId="5ACE394E" w14:textId="77777777" w:rsidR="00892B09" w:rsidRDefault="00892B09" w:rsidP="008A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0CAE" w14:textId="77777777" w:rsidR="007C5583" w:rsidRDefault="007C55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1B6" w14:textId="2B4F5D59" w:rsidR="007C5583" w:rsidRPr="007C5583" w:rsidRDefault="007C5583">
    <w:pPr>
      <w:pStyle w:val="Voettekst"/>
      <w:rPr>
        <w:i/>
        <w:iCs/>
        <w:sz w:val="18"/>
        <w:szCs w:val="18"/>
      </w:rPr>
    </w:pPr>
    <w:r w:rsidRPr="007C5583">
      <w:rPr>
        <w:i/>
        <w:iCs/>
        <w:sz w:val="18"/>
        <w:szCs w:val="18"/>
      </w:rPr>
      <w:t>Toegang Dyslexie werkt in opdracht van de gemeenten Goirle, Hilvarenbeek, Oisterwijk en Tilburg.  Bij onvrede of vragen van ouders die de Toegang Dyslexie niet kan oplossen, worden de beroep- en bezwaarprocedures  van de betreffende gemeente gegeven ter verwijzing.</w:t>
    </w:r>
  </w:p>
  <w:p w14:paraId="6A3870C4" w14:textId="77777777" w:rsidR="007C5583" w:rsidRDefault="007C55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C60" w14:textId="77777777" w:rsidR="007C5583" w:rsidRDefault="007C55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D5CBD" w14:textId="77777777" w:rsidR="00892B09" w:rsidRDefault="00892B09" w:rsidP="008A2939">
      <w:pPr>
        <w:spacing w:after="0" w:line="240" w:lineRule="auto"/>
      </w:pPr>
      <w:r>
        <w:separator/>
      </w:r>
    </w:p>
  </w:footnote>
  <w:footnote w:type="continuationSeparator" w:id="0">
    <w:p w14:paraId="686D5E65" w14:textId="77777777" w:rsidR="00892B09" w:rsidRDefault="00892B09" w:rsidP="008A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77A1" w14:textId="77777777" w:rsidR="007C5583" w:rsidRDefault="007C55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916B" w14:textId="77777777" w:rsidR="00AA5658" w:rsidRPr="001B2E5B" w:rsidRDefault="00AA5658" w:rsidP="001B2E5B">
    <w:pPr>
      <w:pStyle w:val="Koptekst"/>
      <w:rPr>
        <w:i/>
      </w:rPr>
    </w:pPr>
    <w:r w:rsidRPr="001B2E5B">
      <w:rPr>
        <w:i/>
        <w:noProof/>
        <w:lang w:eastAsia="nl-NL"/>
      </w:rPr>
      <w:drawing>
        <wp:inline distT="0" distB="0" distL="0" distR="0" wp14:anchorId="3BF45673" wp14:editId="27A55531">
          <wp:extent cx="1008000" cy="779401"/>
          <wp:effectExtent l="0" t="0" r="1905" b="1905"/>
          <wp:docPr id="5" name="Afbeelding 5" descr="C:\Users\boverta\AppData\Local\Microsoft\Windows\Temporary Internet Files\Content.Outlook\EKA59RBX\GemeenteGoirl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verta\AppData\Local\Microsoft\Windows\Temporary Internet Files\Content.Outlook\EKA59RBX\GemeenteGoirl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476" cy="782089"/>
                  </a:xfrm>
                  <a:prstGeom prst="rect">
                    <a:avLst/>
                  </a:prstGeom>
                  <a:noFill/>
                  <a:ln>
                    <a:noFill/>
                  </a:ln>
                </pic:spPr>
              </pic:pic>
            </a:graphicData>
          </a:graphic>
        </wp:inline>
      </w:drawing>
    </w:r>
    <w:r w:rsidRPr="001B2E5B">
      <w:rPr>
        <w:i/>
      </w:rPr>
      <w:t xml:space="preserve">      </w:t>
    </w:r>
    <w:r w:rsidRPr="001B2E5B">
      <w:rPr>
        <w:i/>
        <w:noProof/>
        <w:lang w:eastAsia="nl-NL"/>
      </w:rPr>
      <w:drawing>
        <wp:inline distT="0" distB="0" distL="0" distR="0" wp14:anchorId="0CC2035C" wp14:editId="0A0789A3">
          <wp:extent cx="1438275" cy="7334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33425"/>
                  </a:xfrm>
                  <a:prstGeom prst="rect">
                    <a:avLst/>
                  </a:prstGeom>
                  <a:noFill/>
                  <a:ln>
                    <a:noFill/>
                  </a:ln>
                </pic:spPr>
              </pic:pic>
            </a:graphicData>
          </a:graphic>
        </wp:inline>
      </w:drawing>
    </w:r>
    <w:r w:rsidRPr="001B2E5B">
      <w:rPr>
        <w:i/>
      </w:rPr>
      <w:t xml:space="preserve">      </w:t>
    </w:r>
    <w:r w:rsidRPr="001B2E5B">
      <w:rPr>
        <w:i/>
        <w:noProof/>
        <w:lang w:eastAsia="nl-NL"/>
      </w:rPr>
      <w:drawing>
        <wp:inline distT="0" distB="0" distL="0" distR="0" wp14:anchorId="5E37E1F1" wp14:editId="20E3CF71">
          <wp:extent cx="1552575" cy="7334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inline>
      </w:drawing>
    </w:r>
    <w:r w:rsidRPr="001B2E5B">
      <w:rPr>
        <w:i/>
      </w:rPr>
      <w:t xml:space="preserve">      </w:t>
    </w:r>
    <w:r w:rsidRPr="001B2E5B">
      <w:rPr>
        <w:i/>
        <w:noProof/>
        <w:lang w:eastAsia="nl-NL"/>
      </w:rPr>
      <w:drawing>
        <wp:inline distT="0" distB="0" distL="0" distR="0" wp14:anchorId="5E99E350" wp14:editId="50B255EB">
          <wp:extent cx="1104900" cy="7334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p w14:paraId="0D807C9B" w14:textId="77777777" w:rsidR="00AA5658" w:rsidRPr="001B2E5B" w:rsidRDefault="00AA5658" w:rsidP="001B2E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F54B" w14:textId="77777777" w:rsidR="007C5583" w:rsidRDefault="007C55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A5CCF"/>
    <w:multiLevelType w:val="hybridMultilevel"/>
    <w:tmpl w:val="2A9CEBD8"/>
    <w:lvl w:ilvl="0" w:tplc="AC468B0E">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EF0376"/>
    <w:multiLevelType w:val="hybridMultilevel"/>
    <w:tmpl w:val="A4502F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F916F2"/>
    <w:multiLevelType w:val="hybridMultilevel"/>
    <w:tmpl w:val="CB90F46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553E629F"/>
    <w:multiLevelType w:val="hybridMultilevel"/>
    <w:tmpl w:val="89063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A403AB9"/>
    <w:multiLevelType w:val="hybridMultilevel"/>
    <w:tmpl w:val="89E0C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0A"/>
    <w:rsid w:val="00056920"/>
    <w:rsid w:val="00065995"/>
    <w:rsid w:val="00065E9A"/>
    <w:rsid w:val="00071DF0"/>
    <w:rsid w:val="00074DBA"/>
    <w:rsid w:val="000802A4"/>
    <w:rsid w:val="00081F51"/>
    <w:rsid w:val="000975FC"/>
    <w:rsid w:val="000A3778"/>
    <w:rsid w:val="000A470B"/>
    <w:rsid w:val="000B4197"/>
    <w:rsid w:val="000B6669"/>
    <w:rsid w:val="000C5414"/>
    <w:rsid w:val="000D68D0"/>
    <w:rsid w:val="00101A8F"/>
    <w:rsid w:val="00123CED"/>
    <w:rsid w:val="00160FE6"/>
    <w:rsid w:val="001616B9"/>
    <w:rsid w:val="00165453"/>
    <w:rsid w:val="00174454"/>
    <w:rsid w:val="00191889"/>
    <w:rsid w:val="001923CB"/>
    <w:rsid w:val="001A28BB"/>
    <w:rsid w:val="001B2E5B"/>
    <w:rsid w:val="001B42F3"/>
    <w:rsid w:val="001C026D"/>
    <w:rsid w:val="00203452"/>
    <w:rsid w:val="002138EF"/>
    <w:rsid w:val="002234D6"/>
    <w:rsid w:val="00233042"/>
    <w:rsid w:val="002560FA"/>
    <w:rsid w:val="00256F2F"/>
    <w:rsid w:val="00261694"/>
    <w:rsid w:val="00262E31"/>
    <w:rsid w:val="00275B4E"/>
    <w:rsid w:val="00276406"/>
    <w:rsid w:val="00292C04"/>
    <w:rsid w:val="002A2DBB"/>
    <w:rsid w:val="002C0CB9"/>
    <w:rsid w:val="002D0EC2"/>
    <w:rsid w:val="002D3C7C"/>
    <w:rsid w:val="002D64C0"/>
    <w:rsid w:val="002F0E93"/>
    <w:rsid w:val="002F78C0"/>
    <w:rsid w:val="00301DFF"/>
    <w:rsid w:val="003074F6"/>
    <w:rsid w:val="00311985"/>
    <w:rsid w:val="0033775D"/>
    <w:rsid w:val="00347F5E"/>
    <w:rsid w:val="00354C13"/>
    <w:rsid w:val="00377351"/>
    <w:rsid w:val="003821B7"/>
    <w:rsid w:val="0038453A"/>
    <w:rsid w:val="00390550"/>
    <w:rsid w:val="003B77D7"/>
    <w:rsid w:val="003C24F9"/>
    <w:rsid w:val="003D2B1B"/>
    <w:rsid w:val="003E185A"/>
    <w:rsid w:val="004019E3"/>
    <w:rsid w:val="00402FD3"/>
    <w:rsid w:val="00447052"/>
    <w:rsid w:val="0046675F"/>
    <w:rsid w:val="00472D32"/>
    <w:rsid w:val="00475A41"/>
    <w:rsid w:val="004919BD"/>
    <w:rsid w:val="00495BFF"/>
    <w:rsid w:val="004A37C4"/>
    <w:rsid w:val="004A3A5E"/>
    <w:rsid w:val="004A4119"/>
    <w:rsid w:val="004A6196"/>
    <w:rsid w:val="004B105F"/>
    <w:rsid w:val="004B754E"/>
    <w:rsid w:val="004C5286"/>
    <w:rsid w:val="004D77DA"/>
    <w:rsid w:val="004E24F0"/>
    <w:rsid w:val="00514807"/>
    <w:rsid w:val="005155C4"/>
    <w:rsid w:val="00516140"/>
    <w:rsid w:val="00525F6B"/>
    <w:rsid w:val="00562DC3"/>
    <w:rsid w:val="00585F3F"/>
    <w:rsid w:val="005903AB"/>
    <w:rsid w:val="005915BE"/>
    <w:rsid w:val="005A6CC1"/>
    <w:rsid w:val="005B04D3"/>
    <w:rsid w:val="005B09E0"/>
    <w:rsid w:val="005F6E03"/>
    <w:rsid w:val="00601E31"/>
    <w:rsid w:val="00605915"/>
    <w:rsid w:val="00621C74"/>
    <w:rsid w:val="00623587"/>
    <w:rsid w:val="00652250"/>
    <w:rsid w:val="006572C0"/>
    <w:rsid w:val="00660752"/>
    <w:rsid w:val="0066157E"/>
    <w:rsid w:val="00664810"/>
    <w:rsid w:val="00667A33"/>
    <w:rsid w:val="0068601E"/>
    <w:rsid w:val="00690763"/>
    <w:rsid w:val="00695960"/>
    <w:rsid w:val="006A0D21"/>
    <w:rsid w:val="006A26E8"/>
    <w:rsid w:val="006B573F"/>
    <w:rsid w:val="006C7358"/>
    <w:rsid w:val="006D2914"/>
    <w:rsid w:val="006D2A1C"/>
    <w:rsid w:val="00700923"/>
    <w:rsid w:val="00720942"/>
    <w:rsid w:val="0072537C"/>
    <w:rsid w:val="00725E2D"/>
    <w:rsid w:val="0074195D"/>
    <w:rsid w:val="007521B9"/>
    <w:rsid w:val="0075235D"/>
    <w:rsid w:val="00760A0A"/>
    <w:rsid w:val="00766AEC"/>
    <w:rsid w:val="0077311F"/>
    <w:rsid w:val="007771A6"/>
    <w:rsid w:val="00780A7C"/>
    <w:rsid w:val="007820C5"/>
    <w:rsid w:val="00785755"/>
    <w:rsid w:val="00792012"/>
    <w:rsid w:val="007958D0"/>
    <w:rsid w:val="007C5271"/>
    <w:rsid w:val="007C5583"/>
    <w:rsid w:val="007D1040"/>
    <w:rsid w:val="007D46BF"/>
    <w:rsid w:val="007D4D32"/>
    <w:rsid w:val="007D7AB7"/>
    <w:rsid w:val="007E1E83"/>
    <w:rsid w:val="007E4C7F"/>
    <w:rsid w:val="007E5617"/>
    <w:rsid w:val="007E5D53"/>
    <w:rsid w:val="007E6FBF"/>
    <w:rsid w:val="0081111F"/>
    <w:rsid w:val="00813FBE"/>
    <w:rsid w:val="008353B3"/>
    <w:rsid w:val="0084151C"/>
    <w:rsid w:val="008511BA"/>
    <w:rsid w:val="00862CDC"/>
    <w:rsid w:val="00870CED"/>
    <w:rsid w:val="008748B4"/>
    <w:rsid w:val="00881DC8"/>
    <w:rsid w:val="00887D46"/>
    <w:rsid w:val="00891608"/>
    <w:rsid w:val="00892B09"/>
    <w:rsid w:val="008A0F4F"/>
    <w:rsid w:val="008A2939"/>
    <w:rsid w:val="008B15CE"/>
    <w:rsid w:val="008B79AD"/>
    <w:rsid w:val="008C1B75"/>
    <w:rsid w:val="008C203B"/>
    <w:rsid w:val="008C2461"/>
    <w:rsid w:val="008C6E3A"/>
    <w:rsid w:val="00905494"/>
    <w:rsid w:val="009056EA"/>
    <w:rsid w:val="009068CA"/>
    <w:rsid w:val="00914325"/>
    <w:rsid w:val="00926690"/>
    <w:rsid w:val="0093080D"/>
    <w:rsid w:val="00935AEC"/>
    <w:rsid w:val="00940505"/>
    <w:rsid w:val="00944148"/>
    <w:rsid w:val="009536AD"/>
    <w:rsid w:val="009543C1"/>
    <w:rsid w:val="00966DBB"/>
    <w:rsid w:val="00970A71"/>
    <w:rsid w:val="00974E53"/>
    <w:rsid w:val="00980213"/>
    <w:rsid w:val="0098045C"/>
    <w:rsid w:val="00996F18"/>
    <w:rsid w:val="009B0180"/>
    <w:rsid w:val="009C31E8"/>
    <w:rsid w:val="009C3523"/>
    <w:rsid w:val="009D55FE"/>
    <w:rsid w:val="009D6E1E"/>
    <w:rsid w:val="009D77DA"/>
    <w:rsid w:val="00A050B6"/>
    <w:rsid w:val="00A0532C"/>
    <w:rsid w:val="00A16825"/>
    <w:rsid w:val="00A23DB1"/>
    <w:rsid w:val="00A30621"/>
    <w:rsid w:val="00A40D0C"/>
    <w:rsid w:val="00A57652"/>
    <w:rsid w:val="00A961D9"/>
    <w:rsid w:val="00AA5658"/>
    <w:rsid w:val="00AB4757"/>
    <w:rsid w:val="00AC2BC6"/>
    <w:rsid w:val="00AC5552"/>
    <w:rsid w:val="00AD5C46"/>
    <w:rsid w:val="00AD5E5E"/>
    <w:rsid w:val="00AD7648"/>
    <w:rsid w:val="00AD7DDE"/>
    <w:rsid w:val="00AE42A5"/>
    <w:rsid w:val="00B00E93"/>
    <w:rsid w:val="00B06B57"/>
    <w:rsid w:val="00B14B96"/>
    <w:rsid w:val="00B15931"/>
    <w:rsid w:val="00B17869"/>
    <w:rsid w:val="00B553EA"/>
    <w:rsid w:val="00B6340A"/>
    <w:rsid w:val="00B7010A"/>
    <w:rsid w:val="00B75A8C"/>
    <w:rsid w:val="00B82CDD"/>
    <w:rsid w:val="00B956AA"/>
    <w:rsid w:val="00BA1CD5"/>
    <w:rsid w:val="00BA5518"/>
    <w:rsid w:val="00BB7726"/>
    <w:rsid w:val="00BC6D1B"/>
    <w:rsid w:val="00BD1F3C"/>
    <w:rsid w:val="00BE0EAC"/>
    <w:rsid w:val="00BE4BE9"/>
    <w:rsid w:val="00BF286A"/>
    <w:rsid w:val="00C037B6"/>
    <w:rsid w:val="00C04A54"/>
    <w:rsid w:val="00C04CEA"/>
    <w:rsid w:val="00C2521C"/>
    <w:rsid w:val="00C2718F"/>
    <w:rsid w:val="00C317C1"/>
    <w:rsid w:val="00C33F25"/>
    <w:rsid w:val="00C47F13"/>
    <w:rsid w:val="00C524D5"/>
    <w:rsid w:val="00C72B4F"/>
    <w:rsid w:val="00C76E62"/>
    <w:rsid w:val="00C8054A"/>
    <w:rsid w:val="00C824B8"/>
    <w:rsid w:val="00C86ECC"/>
    <w:rsid w:val="00C93FAD"/>
    <w:rsid w:val="00C97771"/>
    <w:rsid w:val="00CB2A51"/>
    <w:rsid w:val="00CB5D0B"/>
    <w:rsid w:val="00CC060C"/>
    <w:rsid w:val="00CC74DC"/>
    <w:rsid w:val="00D14E8F"/>
    <w:rsid w:val="00D33958"/>
    <w:rsid w:val="00D52666"/>
    <w:rsid w:val="00D635B6"/>
    <w:rsid w:val="00D65FEE"/>
    <w:rsid w:val="00D82B45"/>
    <w:rsid w:val="00D83D19"/>
    <w:rsid w:val="00D909C1"/>
    <w:rsid w:val="00D978AD"/>
    <w:rsid w:val="00DA56CF"/>
    <w:rsid w:val="00DA64EE"/>
    <w:rsid w:val="00DC0B07"/>
    <w:rsid w:val="00DD6423"/>
    <w:rsid w:val="00DE22B6"/>
    <w:rsid w:val="00DF19E0"/>
    <w:rsid w:val="00DF31CF"/>
    <w:rsid w:val="00DF3D6E"/>
    <w:rsid w:val="00E00918"/>
    <w:rsid w:val="00E04D6D"/>
    <w:rsid w:val="00E05A07"/>
    <w:rsid w:val="00E05C4D"/>
    <w:rsid w:val="00E10BDC"/>
    <w:rsid w:val="00E25383"/>
    <w:rsid w:val="00E42E96"/>
    <w:rsid w:val="00E525C3"/>
    <w:rsid w:val="00E55FDB"/>
    <w:rsid w:val="00E64CED"/>
    <w:rsid w:val="00E84C58"/>
    <w:rsid w:val="00E85021"/>
    <w:rsid w:val="00E963B7"/>
    <w:rsid w:val="00EB11C8"/>
    <w:rsid w:val="00EB6F17"/>
    <w:rsid w:val="00EC0EEA"/>
    <w:rsid w:val="00EC18D7"/>
    <w:rsid w:val="00ED235B"/>
    <w:rsid w:val="00EE0551"/>
    <w:rsid w:val="00F02D68"/>
    <w:rsid w:val="00F13BC0"/>
    <w:rsid w:val="00F24435"/>
    <w:rsid w:val="00F33872"/>
    <w:rsid w:val="00F369AF"/>
    <w:rsid w:val="00F6017E"/>
    <w:rsid w:val="00F60B22"/>
    <w:rsid w:val="00F7030A"/>
    <w:rsid w:val="00F7132A"/>
    <w:rsid w:val="00F900E3"/>
    <w:rsid w:val="00F91799"/>
    <w:rsid w:val="00F96DF8"/>
    <w:rsid w:val="00FA7320"/>
    <w:rsid w:val="00FB752F"/>
    <w:rsid w:val="00FB7FD2"/>
    <w:rsid w:val="00FC3E79"/>
    <w:rsid w:val="00FC5A4B"/>
    <w:rsid w:val="00FD1344"/>
    <w:rsid w:val="00FD212F"/>
    <w:rsid w:val="00FE09BD"/>
    <w:rsid w:val="00FF05F7"/>
    <w:rsid w:val="00FF1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E848D"/>
  <w15:docId w15:val="{14362E06-576E-46D0-ADE5-598C5DEB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23587"/>
    <w:rPr>
      <w:sz w:val="16"/>
      <w:szCs w:val="16"/>
    </w:rPr>
  </w:style>
  <w:style w:type="paragraph" w:styleId="Tekstopmerking">
    <w:name w:val="annotation text"/>
    <w:basedOn w:val="Standaard"/>
    <w:link w:val="TekstopmerkingChar"/>
    <w:uiPriority w:val="99"/>
    <w:semiHidden/>
    <w:unhideWhenUsed/>
    <w:rsid w:val="006235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3587"/>
    <w:rPr>
      <w:sz w:val="20"/>
      <w:szCs w:val="20"/>
    </w:rPr>
  </w:style>
  <w:style w:type="paragraph" w:styleId="Onderwerpvanopmerking">
    <w:name w:val="annotation subject"/>
    <w:basedOn w:val="Tekstopmerking"/>
    <w:next w:val="Tekstopmerking"/>
    <w:link w:val="OnderwerpvanopmerkingChar"/>
    <w:uiPriority w:val="99"/>
    <w:semiHidden/>
    <w:unhideWhenUsed/>
    <w:rsid w:val="00623587"/>
    <w:rPr>
      <w:b/>
      <w:bCs/>
    </w:rPr>
  </w:style>
  <w:style w:type="character" w:customStyle="1" w:styleId="OnderwerpvanopmerkingChar">
    <w:name w:val="Onderwerp van opmerking Char"/>
    <w:basedOn w:val="TekstopmerkingChar"/>
    <w:link w:val="Onderwerpvanopmerking"/>
    <w:uiPriority w:val="99"/>
    <w:semiHidden/>
    <w:rsid w:val="00623587"/>
    <w:rPr>
      <w:b/>
      <w:bCs/>
      <w:sz w:val="20"/>
      <w:szCs w:val="20"/>
    </w:rPr>
  </w:style>
  <w:style w:type="paragraph" w:styleId="Ballontekst">
    <w:name w:val="Balloon Text"/>
    <w:basedOn w:val="Standaard"/>
    <w:link w:val="BallontekstChar"/>
    <w:uiPriority w:val="99"/>
    <w:semiHidden/>
    <w:unhideWhenUsed/>
    <w:rsid w:val="00623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3587"/>
    <w:rPr>
      <w:rFonts w:ascii="Tahoma" w:hAnsi="Tahoma" w:cs="Tahoma"/>
      <w:sz w:val="16"/>
      <w:szCs w:val="16"/>
    </w:rPr>
  </w:style>
  <w:style w:type="paragraph" w:styleId="Koptekst">
    <w:name w:val="header"/>
    <w:basedOn w:val="Standaard"/>
    <w:link w:val="KoptekstChar"/>
    <w:uiPriority w:val="99"/>
    <w:unhideWhenUsed/>
    <w:rsid w:val="008A2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2939"/>
  </w:style>
  <w:style w:type="paragraph" w:styleId="Voettekst">
    <w:name w:val="footer"/>
    <w:basedOn w:val="Standaard"/>
    <w:link w:val="VoettekstChar"/>
    <w:uiPriority w:val="99"/>
    <w:unhideWhenUsed/>
    <w:rsid w:val="008A2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2939"/>
  </w:style>
  <w:style w:type="paragraph" w:styleId="Geenafstand">
    <w:name w:val="No Spacing"/>
    <w:uiPriority w:val="1"/>
    <w:qFormat/>
    <w:rsid w:val="00E84C58"/>
    <w:pPr>
      <w:spacing w:after="0" w:line="240" w:lineRule="auto"/>
    </w:pPr>
  </w:style>
  <w:style w:type="character" w:customStyle="1" w:styleId="Kop1Char">
    <w:name w:val="Kop 1 Char"/>
    <w:basedOn w:val="Standaardalinea-lettertype"/>
    <w:link w:val="Kop1"/>
    <w:uiPriority w:val="9"/>
    <w:rsid w:val="002560FA"/>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25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5552"/>
    <w:pPr>
      <w:ind w:left="720"/>
      <w:contextualSpacing/>
    </w:pPr>
  </w:style>
  <w:style w:type="paragraph" w:styleId="Lijstopsomteken">
    <w:name w:val="List Bullet"/>
    <w:basedOn w:val="Standaard"/>
    <w:uiPriority w:val="9"/>
    <w:qFormat/>
    <w:rsid w:val="00667A33"/>
    <w:pPr>
      <w:numPr>
        <w:numId w:val="2"/>
      </w:numPr>
      <w:spacing w:after="120" w:line="259" w:lineRule="auto"/>
    </w:pPr>
    <w:rPr>
      <w:color w:val="595959" w:themeColor="text1" w:themeTint="A6"/>
      <w:sz w:val="30"/>
      <w:szCs w:val="30"/>
      <w:lang w:eastAsia="ja-JP" w:bidi="nl-NL"/>
    </w:rPr>
  </w:style>
  <w:style w:type="character" w:styleId="Hyperlink">
    <w:name w:val="Hyperlink"/>
    <w:basedOn w:val="Standaardalinea-lettertype"/>
    <w:uiPriority w:val="99"/>
    <w:unhideWhenUsed/>
    <w:rsid w:val="00F369AF"/>
    <w:rPr>
      <w:color w:val="0000FF" w:themeColor="hyperlink"/>
      <w:u w:val="single"/>
    </w:rPr>
  </w:style>
  <w:style w:type="paragraph" w:styleId="Tekstzonderopmaak">
    <w:name w:val="Plain Text"/>
    <w:basedOn w:val="Standaard"/>
    <w:link w:val="TekstzonderopmaakChar"/>
    <w:uiPriority w:val="99"/>
    <w:semiHidden/>
    <w:unhideWhenUsed/>
    <w:rsid w:val="006D2914"/>
    <w:pPr>
      <w:spacing w:after="0" w:line="240" w:lineRule="auto"/>
    </w:pPr>
    <w:rPr>
      <w:rFonts w:ascii="Consolas" w:hAnsi="Consolas" w:cs="Consolas"/>
      <w:sz w:val="24"/>
      <w:szCs w:val="24"/>
    </w:rPr>
  </w:style>
  <w:style w:type="character" w:customStyle="1" w:styleId="TekstzonderopmaakChar">
    <w:name w:val="Tekst zonder opmaak Char"/>
    <w:basedOn w:val="Standaardalinea-lettertype"/>
    <w:link w:val="Tekstzonderopmaak"/>
    <w:uiPriority w:val="99"/>
    <w:semiHidden/>
    <w:rsid w:val="006D2914"/>
    <w:rPr>
      <w:rFonts w:ascii="Consolas" w:hAnsi="Consolas" w:cs="Consol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0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d.nl/professionals/richtlijnen-en-handreiki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egangdyslexie@tilburg.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ECB7-32B5-4008-B62A-9C0F6962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van Rijzewijk</dc:creator>
  <cp:lastModifiedBy>Vroom - van de Water, Laurie de</cp:lastModifiedBy>
  <cp:revision>3</cp:revision>
  <cp:lastPrinted>2017-01-03T11:25:00Z</cp:lastPrinted>
  <dcterms:created xsi:type="dcterms:W3CDTF">2021-12-20T07:33:00Z</dcterms:created>
  <dcterms:modified xsi:type="dcterms:W3CDTF">2021-12-20T07:35:00Z</dcterms:modified>
</cp:coreProperties>
</file>